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62CD2">
      <w:pPr>
        <w:spacing w:before="0" w:after="0" w:line="325" w:lineRule="exact"/>
        <w:ind w:left="1092" w:right="0" w:firstLine="0"/>
        <w:jc w:val="left"/>
        <w:rPr>
          <w:rFonts w:ascii="Times New Roman"/>
          <w:color w:val="000000"/>
          <w:spacing w:val="0"/>
          <w:sz w:val="32"/>
        </w:rPr>
      </w:pPr>
      <w:r>
        <w:pict>
          <v:shape id="_x0000_s1025" o:spid="_x0000_s1025" o:spt="75" type="#_x0000_t75" style="position:absolute;left:0pt;margin-left:404.15pt;margin-top:72.55pt;height:2.75pt;width:2.75pt;mso-position-horizontal-relative:page;mso-position-vertical-relative:page;z-index:-251629568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bookmarkStart w:id="0" w:name="br1"/>
      <w:bookmarkEnd w:id="0"/>
      <w:r>
        <w:pict>
          <v:shape id="_x0000_s1026" o:spid="_x0000_s1026" o:spt="75" type="#_x0000_t75" style="position:absolute;left:0pt;margin-left:212.1pt;margin-top:473.3pt;height:5.75pt;width:5pt;mso-position-horizontal-relative:page;mso-position-vertical-relative:page;z-index:-251630592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27" o:spid="_x0000_s1027" o:spt="75" type="#_x0000_t75" style="position:absolute;left:0pt;margin-left:116.8pt;margin-top:769.7pt;height:2.75pt;width:2.75pt;mso-position-horizontal-relative:page;mso-position-vertical-relative:page;z-index:-251631616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</w:pict>
      </w:r>
      <w:r>
        <w:pict>
          <v:shape id="_x0000_s1028" o:spid="_x0000_s1028" o:spt="75" type="#_x0000_t75" style="position:absolute;left:0pt;margin-left:105.55pt;margin-top:243.65pt;height:16.25pt;width:12.5pt;mso-position-horizontal-relative:page;mso-position-vertical-relative:page;z-index:-251632640;mso-width-relative:page;mso-height-relative:page;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</v:shape>
        </w:pict>
      </w:r>
      <w:r>
        <w:pict>
          <v:shape id="_x0000_s1029" o:spid="_x0000_s1029" o:spt="75" type="#_x0000_t75" style="position:absolute;left:0pt;margin-left:105.55pt;margin-top:298.45pt;height:16.25pt;width:12.5pt;mso-position-horizontal-relative:page;mso-position-vertical-relative:page;z-index:-251633664;mso-width-relative:page;mso-height-relative:page;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</v:shape>
        </w:pict>
      </w:r>
      <w:r>
        <w:pict>
          <v:shape id="_x0000_s1030" o:spid="_x0000_s1030" o:spt="75" type="#_x0000_t75" style="position:absolute;left:0pt;margin-left:47pt;margin-top:626.35pt;height:121.3pt;width:419.2pt;mso-position-horizontal-relative:page;mso-position-vertical-relative:page;z-index:-251634688;mso-width-relative:page;mso-height-relative:page;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</v:shape>
        </w:pict>
      </w:r>
      <w:r>
        <w:rPr>
          <w:rFonts w:ascii="宋体" w:hAnsi="宋体" w:cs="宋体"/>
          <w:color w:val="000000"/>
          <w:spacing w:val="0"/>
          <w:sz w:val="32"/>
        </w:rPr>
        <w:t>云南省</w:t>
      </w:r>
      <w:r>
        <w:rPr>
          <w:rFonts w:ascii="Times New Roman"/>
          <w:color w:val="000000"/>
          <w:spacing w:val="0"/>
          <w:sz w:val="32"/>
        </w:rPr>
        <w:t xml:space="preserve"> </w:t>
      </w:r>
      <w:r>
        <w:rPr>
          <w:rFonts w:ascii="宋体"/>
          <w:color w:val="000000"/>
          <w:spacing w:val="9"/>
          <w:sz w:val="32"/>
        </w:rPr>
        <w:t>2025</w:t>
      </w:r>
      <w:r>
        <w:rPr>
          <w:rFonts w:ascii="Times New Roman"/>
          <w:color w:val="000000"/>
          <w:spacing w:val="0"/>
          <w:sz w:val="32"/>
        </w:rPr>
        <w:t xml:space="preserve"> </w:t>
      </w:r>
      <w:r>
        <w:rPr>
          <w:rFonts w:ascii="宋体" w:hAnsi="宋体" w:cs="宋体"/>
          <w:color w:val="000000"/>
          <w:spacing w:val="0"/>
          <w:sz w:val="32"/>
        </w:rPr>
        <w:t>年普通高中学业水平选择性考试思想政治</w:t>
      </w:r>
    </w:p>
    <w:p w14:paraId="1098E1C7">
      <w:pPr>
        <w:spacing w:before="258" w:after="0" w:line="25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2"/>
          <w:sz w:val="24"/>
        </w:rPr>
        <w:t>一、选择题：本题共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宋体"/>
          <w:color w:val="000000"/>
          <w:spacing w:val="7"/>
          <w:sz w:val="24"/>
        </w:rPr>
        <w:t>16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宋体" w:hAnsi="宋体" w:cs="宋体"/>
          <w:color w:val="000000"/>
          <w:spacing w:val="2"/>
          <w:sz w:val="24"/>
        </w:rPr>
        <w:t>小题，每小题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宋体"/>
          <w:color w:val="000000"/>
          <w:spacing w:val="0"/>
          <w:sz w:val="24"/>
        </w:rPr>
        <w:t>3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宋体" w:hAnsi="宋体" w:cs="宋体"/>
          <w:color w:val="000000"/>
          <w:spacing w:val="4"/>
          <w:sz w:val="24"/>
        </w:rPr>
        <w:t>分，共</w:t>
      </w:r>
      <w:r>
        <w:rPr>
          <w:rFonts w:ascii="Times New Roman"/>
          <w:color w:val="000000"/>
          <w:spacing w:val="-3"/>
          <w:sz w:val="24"/>
        </w:rPr>
        <w:t xml:space="preserve"> </w:t>
      </w:r>
      <w:r>
        <w:rPr>
          <w:rFonts w:ascii="宋体"/>
          <w:color w:val="000000"/>
          <w:spacing w:val="7"/>
          <w:sz w:val="24"/>
        </w:rPr>
        <w:t>48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宋体" w:hAnsi="宋体" w:cs="宋体"/>
          <w:color w:val="000000"/>
          <w:spacing w:val="1"/>
          <w:sz w:val="24"/>
        </w:rPr>
        <w:t>分。在每小题给出的四个选项中，只有一</w:t>
      </w:r>
    </w:p>
    <w:p w14:paraId="757490A9">
      <w:pPr>
        <w:spacing w:before="218" w:after="0" w:line="25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0"/>
          <w:sz w:val="24"/>
        </w:rPr>
        <w:t>项是符合题目要求的。</w:t>
      </w:r>
    </w:p>
    <w:p w14:paraId="18BA4169">
      <w:pPr>
        <w:spacing w:before="22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4"/>
          <w:sz w:val="21"/>
        </w:rPr>
        <w:t>马克思和恩格斯指出：“一切历史冲突都根源于生产力和交往形式之间的矛盾。”人类社会历史在这一矛</w:t>
      </w:r>
    </w:p>
    <w:p w14:paraId="22D1BBD3">
      <w:pPr>
        <w:spacing w:before="232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盾的作用下，奴隶制取代原始公社制经历了约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3000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年，封建制度取代奴隶制度经历了约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1000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年，资本主</w:t>
      </w:r>
    </w:p>
    <w:p w14:paraId="1D8CE9A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义制度取代封建主义制度经历了约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500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年。社会主义发展的历史不算长，却在中国焕发出蓬勃生机。这表</w:t>
      </w:r>
    </w:p>
    <w:p w14:paraId="5B1FD06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明（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3304C44A">
      <w:pPr>
        <w:spacing w:before="362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①社会形态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存在都有相对稳定性</w:t>
      </w:r>
    </w:p>
    <w:p w14:paraId="0DEA55EE">
      <w:pPr>
        <w:spacing w:before="29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②社会形态的更替具有统一性与多样性</w:t>
      </w:r>
    </w:p>
    <w:p w14:paraId="2A4AA097">
      <w:pPr>
        <w:spacing w:before="362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③社会形态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更替具有必然性和长期性</w:t>
      </w:r>
    </w:p>
    <w:p w14:paraId="1FA7519D">
      <w:pPr>
        <w:spacing w:before="29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④不同社会形态的社会层级结构呈现复杂性</w:t>
      </w:r>
    </w:p>
    <w:p w14:paraId="7622CF94">
      <w:pPr>
        <w:spacing w:before="240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44D5CED7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2.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4"/>
          <w:sz w:val="21"/>
        </w:rPr>
        <w:t>习近平指出：“今年是‘十四五’规划收官之年，要在加紧落实规划目标任务的同时，适应形势变化，把</w:t>
      </w:r>
    </w:p>
    <w:p w14:paraId="45A92515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2"/>
          <w:sz w:val="21"/>
        </w:rPr>
        <w:t>握战略重点，科学谋划好“十五五’时期经济社会发展。”自新中国成立以来，我国编制并实施了</w:t>
      </w:r>
      <w:r>
        <w:rPr>
          <w:rFonts w:ascii="Times New Roman"/>
          <w:color w:val="000000"/>
          <w:spacing w:val="2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个五</w:t>
      </w:r>
    </w:p>
    <w:p w14:paraId="6577276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2"/>
          <w:sz w:val="21"/>
        </w:rPr>
        <w:t>年规划（计划），创造了经济快速发展奇迹和社会长期稳定奇迹。科学制定和接续实施五年规划是（</w:t>
      </w:r>
      <w:r>
        <w:rPr>
          <w:rFonts w:ascii="Times New Roman"/>
          <w:color w:val="000000"/>
          <w:spacing w:val="265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2C792074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①社会主义革命的必要准备</w:t>
      </w:r>
    </w:p>
    <w:p w14:paraId="2F95BAE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②我们党治国理政一条重要经验</w:t>
      </w:r>
    </w:p>
    <w:p w14:paraId="34B71B7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③我国社会主义建设经验的初步总结</w:t>
      </w:r>
    </w:p>
    <w:p w14:paraId="564D2AA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④中国特色社会主义一个重要政治优势</w:t>
      </w:r>
    </w:p>
    <w:p w14:paraId="353C0DCB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08B439D6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3.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大宗鲜花拍卖常采用降价式拍卖模式，即拍卖师确定起拍价后，交易大屏上的价格逐次下降，竞买人根</w:t>
      </w:r>
    </w:p>
    <w:p w14:paraId="293889E8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据自己的预估价，在能接受的价位上按下竞价按钮，价高者得，现有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名竞买人参加一单鲜花拍卖，开拍</w:t>
      </w:r>
    </w:p>
    <w:p w14:paraId="1040F74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前，不考虑其他因素，他们的估价思路如下：</w:t>
      </w:r>
    </w:p>
    <w:p w14:paraId="7CC46BBC">
      <w:pPr>
        <w:spacing w:before="338" w:after="0" w:line="220" w:lineRule="exact"/>
        <w:ind w:left="84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影响因素</w:t>
      </w:r>
      <w:r>
        <w:rPr>
          <w:rFonts w:ascii="Times New Roman"/>
          <w:color w:val="000000"/>
          <w:spacing w:val="22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同品类</w:t>
      </w:r>
      <w:r>
        <w:rPr>
          <w:rFonts w:ascii="Times New Roman"/>
          <w:color w:val="000000"/>
          <w:spacing w:val="81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花色</w:t>
      </w:r>
      <w:r>
        <w:rPr>
          <w:rFonts w:ascii="Times New Roman"/>
          <w:color w:val="000000"/>
          <w:spacing w:val="133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质检</w:t>
      </w:r>
      <w:r>
        <w:rPr>
          <w:rFonts w:ascii="Times New Roman"/>
          <w:color w:val="000000"/>
          <w:spacing w:val="133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预估价</w:t>
      </w:r>
    </w:p>
    <w:p w14:paraId="41754A5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竞买人</w:t>
      </w:r>
      <w:r>
        <w:rPr>
          <w:rFonts w:ascii="Times New Roman"/>
          <w:color w:val="000000"/>
          <w:spacing w:val="1279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供货量增加</w:t>
      </w:r>
      <w:r>
        <w:rPr>
          <w:rFonts w:ascii="Times New Roman"/>
          <w:color w:val="000000"/>
          <w:spacing w:val="39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稀有、热门</w:t>
      </w:r>
      <w:r>
        <w:rPr>
          <w:rFonts w:ascii="Times New Roman"/>
          <w:color w:val="000000"/>
          <w:spacing w:val="70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评级高</w:t>
      </w:r>
      <w:r>
        <w:rPr>
          <w:rFonts w:ascii="Times New Roman"/>
          <w:color w:val="000000"/>
          <w:spacing w:val="112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（元/枝）</w:t>
      </w:r>
    </w:p>
    <w:p w14:paraId="28BA9932">
      <w:pPr>
        <w:spacing w:before="413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1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  <w:r>
        <w:rPr>
          <w:rFonts w:ascii="Times New Roman"/>
          <w:color w:val="000000"/>
          <w:spacing w:val="154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23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2.1</w:t>
      </w:r>
    </w:p>
    <w:p w14:paraId="00839794">
      <w:pPr>
        <w:spacing w:before="413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2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  <w:r>
        <w:rPr>
          <w:rFonts w:ascii="Times New Roman"/>
          <w:color w:val="000000"/>
          <w:spacing w:val="154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23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1.7</w:t>
      </w:r>
    </w:p>
    <w:p w14:paraId="6662D265">
      <w:pPr>
        <w:spacing w:before="636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1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394DCD04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2BE60078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11D47EF0">
      <w:pPr>
        <w:pStyle w:val="6"/>
        <w:sectPr>
          <w:headerReference r:id="rId6" w:type="first"/>
          <w:footerReference r:id="rId9" w:type="first"/>
          <w:headerReference r:id="rId4" w:type="default"/>
          <w:footerReference r:id="rId7" w:type="default"/>
          <w:headerReference r:id="rId5" w:type="even"/>
          <w:footerReference r:id="rId8" w:type="even"/>
          <w:pgSz w:w="11900" w:h="16840"/>
          <w:pgMar w:top="1474" w:right="100" w:bottom="0" w:left="1080" w:header="720" w:footer="720" w:gutter="0"/>
          <w:pgNumType w:start="1"/>
          <w:cols w:space="720" w:num="1"/>
          <w:docGrid w:linePitch="1" w:charSpace="0"/>
        </w:sectPr>
      </w:pPr>
    </w:p>
    <w:p w14:paraId="1DF7E63E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6E5A8060">
      <w:pPr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1" w:name="br2"/>
      <w:bookmarkEnd w:id="1"/>
      <w:r>
        <w:pict>
          <v:shape id="_x0000_s1031" o:spid="_x0000_s1031" o:spt="75" type="#_x0000_t75" style="position:absolute;left:0pt;margin-left:212.1pt;margin-top:473.3pt;height:5.75pt;width:5pt;mso-position-horizontal-relative:page;mso-position-vertical-relative:page;z-index:-251635712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32" o:spid="_x0000_s1032" o:spt="75" type="#_x0000_t75" style="position:absolute;left:0pt;margin-left:116.8pt;margin-top:769.7pt;height:2.75pt;width:2.75pt;mso-position-horizontal-relative:page;mso-position-vertical-relative:page;z-index:-251636736;mso-width-relative:page;mso-height-relative:page;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</v:shape>
        </w:pict>
      </w:r>
      <w:r>
        <w:pict>
          <v:shape id="_x0000_s1033" o:spid="_x0000_s1033" o:spt="75" type="#_x0000_t75" style="position:absolute;left:0pt;margin-left:47pt;margin-top:65.05pt;height:97.3pt;width:419.2pt;mso-position-horizontal-relative:page;mso-position-vertical-relative:page;z-index:-251637760;mso-width-relative:page;mso-height-relative:page;" filled="f" o:preferrelative="t" stroked="f" coordsize="21600,21600">
            <v:path/>
            <v:fill on="f" focussize="0,0"/>
            <v:stroke on="f" joinstyle="miter"/>
            <v:imagedata r:id="rId17" o:title=""/>
            <o:lock v:ext="edit" aspectratio="t"/>
          </v:shape>
        </w:pict>
      </w:r>
      <w:r>
        <w:pict>
          <v:shape id="_x0000_s1034" o:spid="_x0000_s1034" o:spt="75" type="#_x0000_t75" style="position:absolute;left:0pt;margin-left:221.1pt;margin-top:563.35pt;height:16.25pt;width:12.5pt;mso-position-horizontal-relative:page;mso-position-vertical-relative:page;z-index:-251638784;mso-width-relative:page;mso-height-relative:page;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</v:shape>
        </w:pict>
      </w:r>
      <w:r>
        <w:rPr>
          <w:rFonts w:ascii="宋体"/>
          <w:color w:val="000000"/>
          <w:spacing w:val="0"/>
          <w:sz w:val="21"/>
        </w:rPr>
        <w:t>3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  <w:r>
        <w:rPr>
          <w:rFonts w:ascii="Times New Roman"/>
          <w:color w:val="000000"/>
          <w:spacing w:val="154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23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1.8</w:t>
      </w:r>
    </w:p>
    <w:p w14:paraId="1593D4E3">
      <w:pPr>
        <w:spacing w:before="413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  <w:r>
        <w:rPr>
          <w:rFonts w:ascii="Times New Roman"/>
          <w:color w:val="000000"/>
          <w:spacing w:val="154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23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1.9</w:t>
      </w:r>
    </w:p>
    <w:p w14:paraId="630790A6">
      <w:pPr>
        <w:spacing w:before="413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  <w:r>
        <w:rPr>
          <w:rFonts w:ascii="Times New Roman"/>
          <w:color w:val="000000"/>
          <w:spacing w:val="154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23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↑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↓</w:t>
      </w:r>
      <w:r>
        <w:rPr>
          <w:rFonts w:ascii="Times New Roman"/>
          <w:color w:val="000000"/>
          <w:spacing w:val="154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1.8</w:t>
      </w:r>
    </w:p>
    <w:p w14:paraId="1AC037FD">
      <w:pPr>
        <w:spacing w:before="33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5"/>
          <w:sz w:val="21"/>
        </w:rPr>
        <w:t>注：“↑”“↓”分别表示预期涨价、降价</w:t>
      </w:r>
    </w:p>
    <w:p w14:paraId="636792E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开拍后，拍卖师确定起拍价是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元/枝。据此可推断（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7AED44E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①最可能的成交价是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元/枝</w:t>
      </w:r>
    </w:p>
    <w:p w14:paraId="0E1195C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②最可能的成交价是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2.1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元/枝</w:t>
      </w:r>
    </w:p>
    <w:p w14:paraId="09FE2679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③估价思路正确的是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号、4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</w:p>
    <w:p w14:paraId="3A1D78F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④估价思路正确的是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号、5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号</w:t>
      </w:r>
    </w:p>
    <w:p w14:paraId="4A08AB7C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310E5127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4.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小明在某公众平台兼职从事法律咨询服务，兼职收入包括：一是通过法律咨询获得收入：二是达到一定</w:t>
      </w:r>
    </w:p>
    <w:p w14:paraId="5A673E21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粉丝量后，接广告获得收入，平台从中抽成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5%。由此可知（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5CBC651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①小明的广告收入是按生产要素参与分配</w:t>
      </w:r>
    </w:p>
    <w:p w14:paraId="7A60B1F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②小明从事法律咨询的收入属于按劳分配</w:t>
      </w:r>
    </w:p>
    <w:p w14:paraId="413C525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③小明从事法律咨询可以增加其收入来源</w:t>
      </w:r>
    </w:p>
    <w:p w14:paraId="5C43744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④平台抽成补充了现有收入分配要素类型</w:t>
      </w:r>
    </w:p>
    <w:p w14:paraId="769E85E3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3FA62D2F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5. </w:t>
      </w:r>
      <w:r>
        <w:rPr>
          <w:rFonts w:ascii="宋体" w:hAnsi="宋体" w:cs="宋体"/>
          <w:color w:val="000000"/>
          <w:spacing w:val="0"/>
          <w:sz w:val="21"/>
        </w:rPr>
        <w:t>“村村寨寨哎，打起鼓、敲起锣，阿低唱新歌。共产党光辉照边疆，山笑水笑人欢乐……”这首上世纪</w:t>
      </w:r>
    </w:p>
    <w:p w14:paraId="08C40D0A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60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-5"/>
          <w:sz w:val="21"/>
        </w:rPr>
        <w:t>年代传遍大江南北的《阿佤人民唱新歌》，在</w:t>
      </w:r>
      <w:r>
        <w:rPr>
          <w:rFonts w:ascii="Times New Roman"/>
          <w:color w:val="000000"/>
          <w:spacing w:val="5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2024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年“首届云南民歌大家唱”赛歌会再次唱响，引起了</w:t>
      </w:r>
    </w:p>
    <w:p w14:paraId="14AFAC4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台上台下各族群众的热烈响应。由此可见（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59A2A23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①民歌成为人们向往和歌颂美好生活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新形式</w:t>
      </w:r>
    </w:p>
    <w:p w14:paraId="5C67053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②这首歌唱出了阿佤人民对共产党的感恩之情</w:t>
      </w:r>
    </w:p>
    <w:p w14:paraId="78A03049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③“民歌大家唱”能够促进民族交往交流交融</w:t>
      </w:r>
    </w:p>
    <w:p w14:paraId="690BD28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④赛歌会展现了民族间的互信互助、互谅互让</w:t>
      </w:r>
    </w:p>
    <w:p w14:paraId="2B3E503F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15B1647A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6. </w:t>
      </w:r>
      <w:r>
        <w:rPr>
          <w:rFonts w:ascii="宋体"/>
          <w:color w:val="000000"/>
          <w:spacing w:val="0"/>
          <w:sz w:val="21"/>
        </w:rPr>
        <w:t>2025</w:t>
      </w:r>
      <w:r>
        <w:rPr>
          <w:rFonts w:ascii="Times New Roman"/>
          <w:color w:val="000000"/>
          <w:spacing w:val="-4"/>
          <w:sz w:val="21"/>
        </w:rPr>
        <w:t xml:space="preserve"> </w:t>
      </w:r>
      <w:r>
        <w:rPr>
          <w:rFonts w:ascii="宋体" w:hAnsi="宋体" w:cs="宋体"/>
          <w:color w:val="000000"/>
          <w:spacing w:val="-4"/>
          <w:sz w:val="21"/>
        </w:rPr>
        <w:t>年，云南省人大常委会依据《云南省人民代表大会代表履职评价办法（试行）》圆满完成了首次省人</w:t>
      </w:r>
    </w:p>
    <w:p w14:paraId="0E573594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大代表履职评价工作。评价主要围绕人大代表模范作用发挥、会议期间工作、闭会期间活动等方面履职情</w:t>
      </w:r>
    </w:p>
    <w:p w14:paraId="291235F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况进行。此举旨在（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48164A9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①调动人大代表参政议政积极性和主动性</w:t>
      </w:r>
    </w:p>
    <w:p w14:paraId="1F0F7EC3">
      <w:pPr>
        <w:spacing w:before="78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2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073D9D9C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7F54C793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02CF2409">
      <w:pPr>
        <w:pStyle w:val="6"/>
        <w:sectPr>
          <w:pgSz w:w="11900" w:h="16840"/>
          <w:pgMar w:top="1542" w:right="100" w:bottom="0" w:left="1080" w:header="720" w:footer="720" w:gutter="0"/>
          <w:pgNumType w:start="1"/>
          <w:cols w:space="720" w:num="1"/>
          <w:docGrid w:linePitch="1" w:charSpace="0"/>
        </w:sectPr>
      </w:pPr>
    </w:p>
    <w:p w14:paraId="6418BAD7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428BCA65">
      <w:pPr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2" w:name="br3"/>
      <w:bookmarkEnd w:id="2"/>
      <w:r>
        <w:pict>
          <v:shape id="_x0000_s1035" o:spid="_x0000_s1035" o:spt="75" type="#_x0000_t75" style="position:absolute;left:0pt;margin-left:404.15pt;margin-top:72.55pt;height:2.75pt;width:2.75pt;mso-position-horizontal-relative:page;mso-position-vertical-relative:page;z-index:-251639808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r>
        <w:pict>
          <v:shape id="_x0000_s1036" o:spid="_x0000_s1036" o:spt="75" type="#_x0000_t75" style="position:absolute;left:0pt;margin-left:212.1pt;margin-top:473.3pt;height:5.75pt;width:5pt;mso-position-horizontal-relative:page;mso-position-vertical-relative:page;z-index:-251640832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37" o:spid="_x0000_s1037" o:spt="75" type="#_x0000_t75" style="position:absolute;left:0pt;margin-left:116.8pt;margin-top:769.7pt;height:2.75pt;width:2.75pt;mso-position-horizontal-relative:page;mso-position-vertical-relative:page;z-index:-251641856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</w:pict>
      </w:r>
      <w:r>
        <w:pict>
          <v:shape id="_x0000_s1038" o:spid="_x0000_s1038" o:spt="75" type="#_x0000_t75" style="position:absolute;left:0pt;margin-left:410.15pt;margin-top:374.2pt;height:16.25pt;width:12.5pt;mso-position-horizontal-relative:page;mso-position-vertical-relative:page;z-index:-251642880;mso-width-relative:page;mso-height-relative:page;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</v:shape>
        </w:pict>
      </w:r>
      <w:r>
        <w:rPr>
          <w:rFonts w:ascii="宋体" w:hAnsi="宋体" w:cs="宋体"/>
          <w:color w:val="000000"/>
          <w:spacing w:val="0"/>
          <w:sz w:val="21"/>
        </w:rPr>
        <w:t>②从根本上提高人大代表所提议案的质量</w:t>
      </w:r>
    </w:p>
    <w:p w14:paraId="417E87C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③增强人大代表依法履职的意识和责任感</w:t>
      </w:r>
    </w:p>
    <w:p w14:paraId="328C7A1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④进一步密切人大代表同人民群众的联系</w:t>
      </w:r>
    </w:p>
    <w:p w14:paraId="6A78E5BE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738CE6A1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7.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某村委会成立了由多名德高望重的女性组成的“阿妈议事会”。阿妈们定期议事，参与村务的商议处理，</w:t>
      </w:r>
    </w:p>
    <w:p w14:paraId="784123DB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反映村民意见建议。当有村民对村务工作不理解时，她们就一户户上门谈心，解开群众心结。同时，阿妈</w:t>
      </w:r>
    </w:p>
    <w:p w14:paraId="7DD18D6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们以“拉家常”方式开展普法活动，调解矛盾纠纷，传递法治正能量。此模式（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52C42E1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①拓宽了村民与村委会间的沟通渠道</w:t>
      </w:r>
    </w:p>
    <w:p w14:paraId="69AF11B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②推动了基层工作的规范化、程序化</w:t>
      </w:r>
    </w:p>
    <w:p w14:paraId="4B319D7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③排除了农村地区矛盾纠纷风险隐患</w:t>
      </w:r>
    </w:p>
    <w:p w14:paraId="6645F66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④丰富了普法方式、提升了治理质效</w:t>
      </w:r>
    </w:p>
    <w:p w14:paraId="0C3BC3A7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5007F5FD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8.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1"/>
          <w:sz w:val="21"/>
        </w:rPr>
        <w:t>自国家卫生健康委联合教育部、体育总局等</w:t>
      </w:r>
      <w:r>
        <w:rPr>
          <w:rFonts w:ascii="Times New Roman"/>
          <w:color w:val="000000"/>
          <w:spacing w:val="-4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16</w:t>
      </w:r>
      <w:r>
        <w:rPr>
          <w:rFonts w:ascii="Times New Roman"/>
          <w:color w:val="000000"/>
          <w:spacing w:val="-5"/>
          <w:sz w:val="21"/>
        </w:rPr>
        <w:t xml:space="preserve"> </w:t>
      </w:r>
      <w:r>
        <w:rPr>
          <w:rFonts w:ascii="宋体" w:hAnsi="宋体" w:cs="宋体"/>
          <w:color w:val="000000"/>
          <w:spacing w:val="-2"/>
          <w:sz w:val="21"/>
        </w:rPr>
        <w:t>部门启动“体重管理年”活动以来，医疗机构、健身行业</w:t>
      </w:r>
    </w:p>
    <w:p w14:paraId="40382319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以及社会各界纷纷响应。人们通过医学干预、体育运动等方式掀起了体重管理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热潮。根据材料，体重管</w:t>
      </w:r>
    </w:p>
    <w:p w14:paraId="074F735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理（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1B4A355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①效果取决于人们对各种方式的选择</w:t>
      </w:r>
    </w:p>
    <w:p w14:paraId="5A29ABA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②与体育运动之间的联系具有客观性</w:t>
      </w:r>
    </w:p>
    <w:p w14:paraId="6781DE2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③与医学干预之间是人为事物的联系</w:t>
      </w:r>
    </w:p>
    <w:p w14:paraId="587EAA5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④受医学干预和体育运动发展的主导</w:t>
      </w:r>
    </w:p>
    <w:p w14:paraId="65818F39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7D4E0F92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9.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过去，人们主要采用有机高分子材料修复岩土文物。现在，科研团队通过微生物加固技术修复岩土文物，</w:t>
      </w:r>
    </w:p>
    <w:p w14:paraId="289D4759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更契合岩土文物修复“最小干预”“不引入异物”的特殊需求，打开了科技守护文化根脉的新思路。微生</w:t>
      </w:r>
    </w:p>
    <w:p w14:paraId="2E84723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物加固技术的运用（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62AE02A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①为文物修复提供了方法论指导</w:t>
      </w:r>
    </w:p>
    <w:p w14:paraId="681FD2E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②是人们发挥主观能动性的结果</w:t>
      </w:r>
    </w:p>
    <w:p w14:paraId="423827F4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③丰富了人们对物质世界的认识</w:t>
      </w:r>
    </w:p>
    <w:p w14:paraId="3090C55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④是对有机高分子材料的辩证否定</w:t>
      </w:r>
    </w:p>
    <w:p w14:paraId="027F7C1A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27FDFEB0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10. </w:t>
      </w:r>
      <w:r>
        <w:rPr>
          <w:rFonts w:ascii="宋体" w:hAnsi="宋体" w:cs="宋体"/>
          <w:color w:val="000000"/>
          <w:spacing w:val="0"/>
          <w:sz w:val="21"/>
        </w:rPr>
        <w:t>“素人写作”是一种普通劳动者以“剧中人”和“剧作者”的双重身份进行写作，并借助新媒介传播的</w:t>
      </w:r>
    </w:p>
    <w:p w14:paraId="32E37C3C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文化现象。近年涌现出的一些优秀作品得到大众的喜爱，这些作品记录了真切的生活感受，让人们为身边</w:t>
      </w:r>
    </w:p>
    <w:p w14:paraId="383592BB">
      <w:pPr>
        <w:spacing w:before="120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3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7513B82C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4AB9CECE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797B6E31">
      <w:pPr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3" w:name="br4"/>
      <w:bookmarkEnd w:id="3"/>
      <w:r>
        <w:pict>
          <v:shape id="_x0000_s1039" o:spid="_x0000_s1039" o:spt="75" type="#_x0000_t75" style="position:absolute;left:0pt;margin-left:404.15pt;margin-top:72.55pt;height:2.75pt;width:2.75pt;mso-position-horizontal-relative:page;mso-position-vertical-relative:page;z-index:-251643904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r>
        <w:pict>
          <v:shape id="_x0000_s1040" o:spid="_x0000_s1040" o:spt="75" type="#_x0000_t75" style="position:absolute;left:0pt;margin-left:212.1pt;margin-top:473.3pt;height:5.75pt;width:5pt;mso-position-horizontal-relative:page;mso-position-vertical-relative:page;z-index:-251644928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41" o:spid="_x0000_s1041" o:spt="75" type="#_x0000_t75" style="position:absolute;left:0pt;margin-left:116.8pt;margin-top:769.7pt;height:2.75pt;width:2.75pt;mso-position-horizontal-relative:page;mso-position-vertical-relative:page;z-index:-251645952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</v:shape>
        </w:pict>
      </w:r>
      <w:r>
        <w:pict>
          <v:shape id="_x0000_s1042" o:spid="_x0000_s1042" o:spt="75" type="#_x0000_t75" style="position:absolute;left:0pt;margin-left:179.1pt;margin-top:748.7pt;height:16.25pt;width:12.5pt;mso-position-horizontal-relative:page;mso-position-vertical-relative:page;z-index:-251646976;mso-width-relative:page;mso-height-relative:page;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</v:shape>
        </w:pict>
      </w:r>
      <w:r>
        <w:rPr>
          <w:rFonts w:ascii="宋体" w:hAnsi="宋体" w:cs="宋体"/>
          <w:color w:val="000000"/>
          <w:spacing w:val="0"/>
          <w:sz w:val="21"/>
        </w:rPr>
        <w:t>的奋斗鼓掌；用有温度的经历引发共鸣，使读者走出“茧房”，与他人和社会建立联系。这些优秀作品受</w:t>
      </w:r>
    </w:p>
    <w:p w14:paraId="5CA8A4E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欢迎是因为（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3DF7417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①源于时代发展，记录生活与回应社会</w:t>
      </w:r>
    </w:p>
    <w:p w14:paraId="5E09C7B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②拥抱新兴技术，创新传播形式和内容</w:t>
      </w:r>
    </w:p>
    <w:p w14:paraId="18CE35C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③迎合大众需求，优化了公共文化服务</w:t>
      </w:r>
    </w:p>
    <w:p w14:paraId="2D43A25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④讴歌奋斗人生，打动人心与抚慰情感</w:t>
      </w:r>
    </w:p>
    <w:p w14:paraId="1784C00C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5AE862F2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-4"/>
          <w:sz w:val="21"/>
        </w:rPr>
        <w:t>11.</w:t>
      </w:r>
      <w:r>
        <w:rPr>
          <w:rFonts w:ascii="Times New Roman"/>
          <w:color w:val="000000"/>
          <w:spacing w:val="56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中国向全球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50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多家科研机构分享嫦娥六号获取的月壤样本，通过杂交水稻技术助力近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70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国粮食增产。</w:t>
      </w:r>
    </w:p>
    <w:p w14:paraId="0696A125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同时，中国采取人工智能开源模式，打破西方国家对先进算力的垄断，与各国共享人工智能发展红利。这</w:t>
      </w:r>
    </w:p>
    <w:p w14:paraId="08501BA1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能够（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483EE49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①拓展发展中国家实现现代化的模式</w:t>
      </w:r>
    </w:p>
    <w:p w14:paraId="73DAA60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②彰显中国立己达人的和平发展道路</w:t>
      </w:r>
    </w:p>
    <w:p w14:paraId="7A2904E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③凸显中国以务实行动完善全球治理</w:t>
      </w:r>
    </w:p>
    <w:p w14:paraId="1FF6A049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④建立平等、开放、合作的伙伴关系</w:t>
      </w:r>
    </w:p>
    <w:p w14:paraId="7ADB82E6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②④</w:t>
      </w:r>
    </w:p>
    <w:p w14:paraId="7CB3BBBF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12.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目前我国已陆续制定</w:t>
      </w:r>
      <w:r>
        <w:rPr>
          <w:rFonts w:ascii="Times New Roman"/>
          <w:color w:val="000000"/>
          <w:spacing w:val="-1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110</w:t>
      </w:r>
      <w:r>
        <w:rPr>
          <w:rFonts w:ascii="Times New Roman"/>
          <w:color w:val="000000"/>
          <w:spacing w:val="-1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余项中医药</w:t>
      </w:r>
      <w:r>
        <w:rPr>
          <w:rFonts w:ascii="Times New Roman"/>
          <w:color w:val="000000"/>
          <w:spacing w:val="-18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ISO</w:t>
      </w:r>
      <w:r>
        <w:rPr>
          <w:rFonts w:ascii="Times New Roman"/>
          <w:color w:val="000000"/>
          <w:spacing w:val="-18"/>
          <w:sz w:val="21"/>
        </w:rPr>
        <w:t xml:space="preserve"> </w:t>
      </w:r>
      <w:r>
        <w:rPr>
          <w:rFonts w:ascii="宋体" w:hAnsi="宋体" w:cs="宋体"/>
          <w:color w:val="000000"/>
          <w:spacing w:val="-8"/>
          <w:sz w:val="21"/>
        </w:rPr>
        <w:t>国际标准。2024</w:t>
      </w:r>
      <w:r>
        <w:rPr>
          <w:rFonts w:ascii="Times New Roman"/>
          <w:color w:val="000000"/>
          <w:spacing w:val="-1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年我国中药类商品对外贸易总额同比增长</w:t>
      </w:r>
      <w:r>
        <w:rPr>
          <w:rFonts w:ascii="Times New Roman"/>
          <w:color w:val="000000"/>
          <w:spacing w:val="-1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0.4%，</w:t>
      </w:r>
    </w:p>
    <w:p w14:paraId="0C8556C8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其中进口额增长</w:t>
      </w:r>
      <w:r>
        <w:rPr>
          <w:rFonts w:ascii="Times New Roman"/>
          <w:color w:val="000000"/>
          <w:spacing w:val="-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7.3%，出口额下降</w:t>
      </w:r>
      <w:r>
        <w:rPr>
          <w:rFonts w:ascii="Times New Roman"/>
          <w:color w:val="000000"/>
          <w:spacing w:val="-1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3.2%。具体来看，中药材及中药饮片、植物提取物出口额分别同比下降</w:t>
      </w:r>
    </w:p>
    <w:p w14:paraId="41E8B54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5"/>
          <w:sz w:val="21"/>
        </w:rPr>
        <w:t>5.7%、7.7%，中成药、保健品出口额分别同比增长</w:t>
      </w:r>
      <w:r>
        <w:rPr>
          <w:rFonts w:ascii="Times New Roman"/>
          <w:color w:val="000000"/>
          <w:spacing w:val="-6"/>
          <w:sz w:val="21"/>
        </w:rPr>
        <w:t xml:space="preserve"> </w:t>
      </w:r>
      <w:r>
        <w:rPr>
          <w:rFonts w:ascii="宋体" w:hAnsi="宋体" w:cs="宋体"/>
          <w:color w:val="000000"/>
          <w:spacing w:val="-6"/>
          <w:sz w:val="21"/>
        </w:rPr>
        <w:t>10.6%、20.9%。由此可推断，2024</w:t>
      </w:r>
      <w:r>
        <w:rPr>
          <w:rFonts w:ascii="Times New Roman"/>
          <w:color w:val="000000"/>
          <w:spacing w:val="-5"/>
          <w:sz w:val="21"/>
        </w:rPr>
        <w:t xml:space="preserve"> </w:t>
      </w:r>
      <w:r>
        <w:rPr>
          <w:rFonts w:ascii="宋体" w:hAnsi="宋体" w:cs="宋体"/>
          <w:color w:val="000000"/>
          <w:spacing w:val="-5"/>
          <w:sz w:val="21"/>
        </w:rPr>
        <w:t>年我国中药类商品（</w:t>
      </w:r>
      <w:r>
        <w:rPr>
          <w:rFonts w:ascii="Times New Roman"/>
          <w:color w:val="000000"/>
          <w:spacing w:val="26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4435DBC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①进口贸易规模扩大，国际需求量减少</w:t>
      </w:r>
    </w:p>
    <w:p w14:paraId="6F5820C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②进出口贸易量价齐增，产品质量提升</w:t>
      </w:r>
    </w:p>
    <w:p w14:paraId="08A4B51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③出口的产品附加值增加，价值链地位提升</w:t>
      </w:r>
    </w:p>
    <w:p w14:paraId="5E1B9BC4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④深加工产品出口规模扩大，出口结构优化</w:t>
      </w:r>
    </w:p>
    <w:p w14:paraId="07471DBF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②④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58225D22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13.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某商家在网络平台销售无人机，授权平台在收到消费者已退货信息后即可退款，落实“七天无理由退</w:t>
      </w:r>
    </w:p>
    <w:p w14:paraId="3F58FEEB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货”。在销售过程中，商家发现有顾客退回非本店售卖的无人机，且平台已将货款退还到顾客账户。商家</w:t>
      </w:r>
    </w:p>
    <w:p w14:paraId="42CCC2B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0AB38C1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①可以依法通过仲裁解决</w:t>
      </w:r>
    </w:p>
    <w:p w14:paraId="3DFEFEC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②应该向其注册登记地法院起诉</w:t>
      </w:r>
    </w:p>
    <w:p w14:paraId="06A10C8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③必须通过平台要求顾客返还货款</w:t>
      </w:r>
    </w:p>
    <w:p w14:paraId="3458EDE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④不能要求平台返还已划扣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货款</w:t>
      </w:r>
    </w:p>
    <w:p w14:paraId="5E44A968">
      <w:pPr>
        <w:spacing w:before="120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4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662E9E75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7602EA14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192C64D3">
      <w:pPr>
        <w:pStyle w:val="6"/>
        <w:sectPr>
          <w:pgSz w:w="11900" w:h="16840"/>
          <w:pgMar w:top="1452" w:right="100" w:bottom="0" w:left="1080" w:header="720" w:footer="720" w:gutter="0"/>
          <w:pgNumType w:start="1"/>
          <w:cols w:space="720" w:num="1"/>
          <w:docGrid w:linePitch="1" w:charSpace="0"/>
        </w:sectPr>
      </w:pPr>
    </w:p>
    <w:p w14:paraId="6C604B5C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2DEDDF5D">
      <w:pPr>
        <w:spacing w:before="0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4" w:name="br5"/>
      <w:bookmarkEnd w:id="4"/>
      <w:r>
        <w:pict>
          <v:shape id="_x0000_s1043" o:spid="_x0000_s1043" o:spt="75" type="#_x0000_t75" style="position:absolute;left:0pt;margin-left:404.15pt;margin-top:72.55pt;height:2.75pt;width:2.75pt;mso-position-horizontal-relative:page;mso-position-vertical-relative:page;z-index:-251648000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r>
        <w:pict>
          <v:shape id="_x0000_s1044" o:spid="_x0000_s1044" o:spt="75" type="#_x0000_t75" style="position:absolute;left:0pt;margin-left:212.1pt;margin-top:473.3pt;height:5.75pt;width:5pt;mso-position-horizontal-relative:page;mso-position-vertical-relative:page;z-index:-251649024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45" o:spid="_x0000_s1045" o:spt="75" type="#_x0000_t75" style="position:absolute;left:0pt;margin-left:116.8pt;margin-top:769.7pt;height:2.75pt;width:2.75pt;mso-position-horizontal-relative:page;mso-position-vertical-relative:page;z-index:-251650048;mso-width-relative:page;mso-height-relative:page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</v:shape>
        </w:pict>
      </w: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1687669E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14.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1"/>
          <w:sz w:val="21"/>
        </w:rPr>
        <w:t>甲得知好友患重病急需医疗费，打算相助。目前，甲的财产状况为：未到期婚前债权</w:t>
      </w:r>
      <w:r>
        <w:rPr>
          <w:rFonts w:ascii="Times New Roman"/>
          <w:color w:val="000000"/>
          <w:spacing w:val="-2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6</w:t>
      </w:r>
      <w:r>
        <w:rPr>
          <w:rFonts w:ascii="Times New Roman"/>
          <w:color w:val="000000"/>
          <w:spacing w:val="-3"/>
          <w:sz w:val="21"/>
        </w:rPr>
        <w:t xml:space="preserve"> </w:t>
      </w:r>
      <w:r>
        <w:rPr>
          <w:rFonts w:ascii="宋体" w:hAnsi="宋体" w:cs="宋体"/>
          <w:color w:val="000000"/>
          <w:spacing w:val="-2"/>
          <w:sz w:val="21"/>
        </w:rPr>
        <w:t>万元：婚前房屋</w:t>
      </w:r>
    </w:p>
    <w:p w14:paraId="6C054169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/>
          <w:color w:val="000000"/>
          <w:spacing w:val="0"/>
          <w:sz w:val="21"/>
        </w:rPr>
        <w:t>1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套，婚后与他人签订租赁协议，约定租金每年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3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万元；婚后存款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10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万元。甲可依法采用的筹措医疗费的</w:t>
      </w:r>
    </w:p>
    <w:p w14:paraId="6849D3F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办法有（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6AA3D991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①与债务人协商提前偿还债务</w:t>
      </w:r>
    </w:p>
    <w:p w14:paraId="63682CF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②预支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3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万元房租，事后经配偶追认</w:t>
      </w:r>
    </w:p>
    <w:p w14:paraId="24F17DD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③从夫妻共有存款中，拿出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/>
          <w:color w:val="000000"/>
          <w:spacing w:val="0"/>
          <w:sz w:val="21"/>
        </w:rPr>
        <w:t>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万元赠与好友</w:t>
      </w:r>
    </w:p>
    <w:p w14:paraId="1481B5EB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④经配偶同意后，以房屋的土地所有权作为抵押向银行贷款</w:t>
      </w:r>
    </w:p>
    <w:p w14:paraId="79170C23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①③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②④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3A8E4469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15.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2"/>
          <w:sz w:val="21"/>
        </w:rPr>
        <w:t>中国古代天文学家在观测星象时发现，星辰位置与季节、物候存在关联。《鸥冠子·环流》明确记载：</w:t>
      </w:r>
    </w:p>
    <w:p w14:paraId="5E721E0C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3"/>
          <w:sz w:val="21"/>
        </w:rPr>
        <w:t>“斗柄东指，天下皆春；斗柄南指，天下皆夏。”但古人深知，自然变化并非简单对应，这种认知后被升华</w:t>
      </w:r>
    </w:p>
    <w:p w14:paraId="5513DD6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为奉常处变的哲学思想。对于材料中体现的科学思维，判断正确的是（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63358FD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①求异法，对比不同年份的物候差异来确定斗柄位置</w:t>
      </w:r>
    </w:p>
    <w:p w14:paraId="658DE66B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②演绎推理法，从普遍规律出发推导出具体的物候现象</w:t>
      </w:r>
    </w:p>
    <w:p w14:paraId="68DDE8FD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③辩证思维，认识星辰位置与物候的普遍联系及特殊变化</w:t>
      </w:r>
    </w:p>
    <w:p w14:paraId="17971F9D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④共变法，观测斗柄位置与季节变化的同步关系总结规律</w:t>
      </w:r>
    </w:p>
    <w:p w14:paraId="246BDC6A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 xml:space="preserve">A. </w:t>
      </w:r>
      <w:r>
        <w:rPr>
          <w:rFonts w:ascii="宋体" w:hAnsi="宋体" w:cs="宋体"/>
          <w:color w:val="000000"/>
          <w:spacing w:val="0"/>
          <w:sz w:val="21"/>
        </w:rPr>
        <w:t>①②</w:t>
      </w:r>
      <w:r>
        <w:rPr>
          <w:rFonts w:ascii="Times New Roman"/>
          <w:color w:val="000000"/>
          <w:spacing w:val="1708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B. </w:t>
      </w:r>
      <w:r>
        <w:rPr>
          <w:rFonts w:ascii="宋体" w:hAnsi="宋体" w:cs="宋体"/>
          <w:color w:val="000000"/>
          <w:spacing w:val="0"/>
          <w:sz w:val="21"/>
        </w:rPr>
        <w:t>①④</w:t>
      </w:r>
      <w:r>
        <w:rPr>
          <w:rFonts w:ascii="Times New Roman"/>
          <w:color w:val="000000"/>
          <w:spacing w:val="1720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C. </w:t>
      </w:r>
      <w:r>
        <w:rPr>
          <w:rFonts w:ascii="宋体" w:hAnsi="宋体" w:cs="宋体"/>
          <w:color w:val="000000"/>
          <w:spacing w:val="0"/>
          <w:sz w:val="21"/>
        </w:rPr>
        <w:t>②③</w:t>
      </w:r>
      <w:r>
        <w:rPr>
          <w:rFonts w:ascii="Times New Roman"/>
          <w:color w:val="000000"/>
          <w:spacing w:val="1719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 xml:space="preserve">D. </w:t>
      </w:r>
      <w:r>
        <w:rPr>
          <w:rFonts w:ascii="宋体" w:hAnsi="宋体" w:cs="宋体"/>
          <w:color w:val="000000"/>
          <w:spacing w:val="0"/>
          <w:sz w:val="21"/>
        </w:rPr>
        <w:t>③④</w:t>
      </w:r>
    </w:p>
    <w:p w14:paraId="4A6BFA6C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16.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-2"/>
          <w:sz w:val="21"/>
        </w:rPr>
        <w:t>近日，“国球奥运冠军进校园”活动在云南举办。根据活动要求，张华和李红至少有一人参加这个活动。</w:t>
      </w:r>
    </w:p>
    <w:p w14:paraId="2FC03F65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如果张华不参加“国球奥运冠军进校园”活动，那么李红不参加这个活动。由此可必然推出（</w:t>
      </w:r>
      <w:r>
        <w:rPr>
          <w:rFonts w:ascii="Times New Roman"/>
          <w:color w:val="000000"/>
          <w:spacing w:val="26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）</w:t>
      </w:r>
    </w:p>
    <w:p w14:paraId="4D25A063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A.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李红一定参加这个活动</w:t>
      </w:r>
      <w:r>
        <w:rPr>
          <w:rFonts w:ascii="Times New Roman"/>
          <w:color w:val="000000"/>
          <w:spacing w:val="2412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>B.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张华一定参加这个活动</w:t>
      </w:r>
    </w:p>
    <w:p w14:paraId="1BCA126B">
      <w:pPr>
        <w:spacing w:before="226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C.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李红一定不参加这个活动</w:t>
      </w:r>
      <w:r>
        <w:rPr>
          <w:rFonts w:ascii="Times New Roman"/>
          <w:color w:val="000000"/>
          <w:spacing w:val="2214"/>
          <w:sz w:val="21"/>
        </w:rPr>
        <w:t xml:space="preserve"> </w:t>
      </w:r>
      <w:r>
        <w:rPr>
          <w:rFonts w:ascii="Times New Roman"/>
          <w:color w:val="000000"/>
          <w:spacing w:val="0"/>
          <w:sz w:val="21"/>
        </w:rPr>
        <w:t>D.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张华一定不参加这个活动</w:t>
      </w:r>
    </w:p>
    <w:p w14:paraId="752DE5F6">
      <w:pPr>
        <w:spacing w:before="222" w:after="0" w:line="250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宋体" w:hAnsi="宋体" w:cs="宋体"/>
          <w:color w:val="000000"/>
          <w:spacing w:val="2"/>
          <w:sz w:val="24"/>
        </w:rPr>
        <w:t>二、非选择题：本题共</w:t>
      </w:r>
      <w:r>
        <w:rPr>
          <w:rFonts w:ascii="Times New Roman"/>
          <w:color w:val="000000"/>
          <w:spacing w:val="-1"/>
          <w:sz w:val="24"/>
        </w:rPr>
        <w:t xml:space="preserve"> </w:t>
      </w:r>
      <w:r>
        <w:rPr>
          <w:rFonts w:ascii="宋体"/>
          <w:color w:val="000000"/>
          <w:spacing w:val="0"/>
          <w:sz w:val="24"/>
        </w:rPr>
        <w:t>5</w:t>
      </w:r>
      <w:r>
        <w:rPr>
          <w:rFonts w:ascii="Times New Roman"/>
          <w:color w:val="000000"/>
          <w:spacing w:val="7"/>
          <w:sz w:val="24"/>
        </w:rPr>
        <w:t xml:space="preserve"> </w:t>
      </w:r>
      <w:r>
        <w:rPr>
          <w:rFonts w:ascii="宋体" w:hAnsi="宋体" w:cs="宋体"/>
          <w:color w:val="000000"/>
          <w:spacing w:val="3"/>
          <w:sz w:val="24"/>
        </w:rPr>
        <w:t>小题，共</w:t>
      </w:r>
      <w:r>
        <w:rPr>
          <w:rFonts w:ascii="Times New Roman"/>
          <w:color w:val="000000"/>
          <w:spacing w:val="-2"/>
          <w:sz w:val="24"/>
        </w:rPr>
        <w:t xml:space="preserve"> </w:t>
      </w:r>
      <w:r>
        <w:rPr>
          <w:rFonts w:ascii="宋体"/>
          <w:color w:val="000000"/>
          <w:spacing w:val="7"/>
          <w:sz w:val="24"/>
        </w:rPr>
        <w:t>52</w:t>
      </w:r>
      <w:r>
        <w:rPr>
          <w:rFonts w:ascii="Times New Roman"/>
          <w:color w:val="000000"/>
          <w:spacing w:val="0"/>
          <w:sz w:val="24"/>
        </w:rPr>
        <w:t xml:space="preserve"> </w:t>
      </w:r>
      <w:r>
        <w:rPr>
          <w:rFonts w:ascii="宋体" w:hAnsi="宋体" w:cs="宋体"/>
          <w:color w:val="000000"/>
          <w:spacing w:val="0"/>
          <w:sz w:val="24"/>
        </w:rPr>
        <w:t>分。</w:t>
      </w:r>
    </w:p>
    <w:p w14:paraId="699886C2">
      <w:pPr>
        <w:spacing w:before="222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17.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阅读材料，完成下列要求。</w:t>
      </w:r>
    </w:p>
    <w:p w14:paraId="6CDCD805">
      <w:pPr>
        <w:spacing w:before="237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材料一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多式联运是一种为实现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物畅其流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，将铁路、公路、水运、航空等多种运输方式有机组合</w:t>
      </w:r>
    </w:p>
    <w:p w14:paraId="2ACF139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-2"/>
          <w:sz w:val="21"/>
        </w:rPr>
        <w:t>的联运新模式。为贯彻落实中央《关于加快建设统一开放的交通运输市场的意见》，健全多式联运运行体系，</w:t>
      </w:r>
    </w:p>
    <w:p w14:paraId="02439C8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多地政府聚力推动货物品名、箱型、包装等标准规则互认，推进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一单制</w:t>
      </w:r>
      <w:r>
        <w:rPr>
          <w:rFonts w:ascii="宋体" w:hAnsi="宋体" w:cs="宋体"/>
          <w:color w:val="000000"/>
          <w:spacing w:val="0"/>
          <w:sz w:val="21"/>
        </w:rPr>
        <w:t>”“</w:t>
      </w:r>
      <w:r>
        <w:rPr>
          <w:rFonts w:ascii="楷体" w:hAnsi="楷体" w:cs="楷体"/>
          <w:color w:val="000000"/>
          <w:spacing w:val="0"/>
          <w:sz w:val="21"/>
        </w:rPr>
        <w:t>一箱制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，实现托运人一次</w:t>
      </w:r>
    </w:p>
    <w:p w14:paraId="2ED9A47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委托、费用一次结算、货物一次保险及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一箱到底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的全程管控；打造铁路货运电子商务平台、多式联运</w:t>
      </w:r>
    </w:p>
    <w:p w14:paraId="725B846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数智平台，提升车货匹配效率，整合各类分散的货运市场资源。</w:t>
      </w:r>
    </w:p>
    <w:p w14:paraId="195A833D">
      <w:pPr>
        <w:spacing w:before="248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材料二</w:t>
      </w:r>
      <w:r>
        <w:rPr>
          <w:rFonts w:ascii="Times New Roman"/>
          <w:color w:val="000000"/>
          <w:spacing w:val="158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某物流公司与客户签订铁水联运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一单制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运输合同，将矿石运至目的地。物流公司委托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/>
          <w:color w:val="000000"/>
          <w:spacing w:val="0"/>
          <w:sz w:val="21"/>
        </w:rPr>
        <w:t>A</w:t>
      </w:r>
    </w:p>
    <w:p w14:paraId="6C051780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公司负责铁运，B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公司负责水运。A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公司将货物运至港口交付水运时，B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公司未及时安排接货。A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公司当即</w:t>
      </w:r>
    </w:p>
    <w:p w14:paraId="0F416500">
      <w:pPr>
        <w:spacing w:before="120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5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448C8DE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38153CC1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590F0B09">
      <w:pPr>
        <w:pStyle w:val="6"/>
        <w:sectPr>
          <w:pgSz w:w="11900" w:h="16840"/>
          <w:pgMar w:top="1440" w:right="100" w:bottom="0" w:left="1080" w:header="720" w:footer="720" w:gutter="0"/>
          <w:pgNumType w:start="1"/>
          <w:cols w:space="720" w:num="1"/>
          <w:docGrid w:linePitch="1" w:charSpace="0"/>
        </w:sectPr>
      </w:pPr>
    </w:p>
    <w:p w14:paraId="400583D2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7" w:name="_GoBack"/>
      <w:bookmarkEnd w:id="7"/>
    </w:p>
    <w:p w14:paraId="5741F593">
      <w:pPr>
        <w:spacing w:before="0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5" w:name="br6"/>
      <w:bookmarkEnd w:id="5"/>
      <w:r>
        <w:pict>
          <v:shape id="_x0000_s1046" o:spid="_x0000_s1046" o:spt="75" type="#_x0000_t75" style="position:absolute;left:0pt;margin-left:404.15pt;margin-top:72.55pt;height:2.75pt;width:2.75pt;mso-position-horizontal-relative:page;mso-position-vertical-relative:page;z-index:-251651072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r>
        <w:pict>
          <v:shape id="_x0000_s1047" o:spid="_x0000_s1047" o:spt="75" type="#_x0000_t75" style="position:absolute;left:0pt;margin-left:212.1pt;margin-top:473.3pt;height:5.75pt;width:5pt;mso-position-horizontal-relative:page;mso-position-vertical-relative:page;z-index:-251652096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48" o:spid="_x0000_s1048" o:spt="75" type="#_x0000_t75" style="position:absolute;left:0pt;margin-left:116.8pt;margin-top:769.7pt;height:2.75pt;width:2.75pt;mso-position-horizontal-relative:page;mso-position-vertical-relative:page;z-index:-251653120;mso-width-relative:page;mso-height-relative:page;" filled="f" o:preferrelative="t" stroked="f" coordsize="21600,21600">
            <v:path/>
            <v:fill on="f" focussize="0,0"/>
            <v:stroke on="f" joinstyle="miter"/>
            <v:imagedata r:id="rId19" o:title=""/>
            <o:lock v:ext="edit" aspectratio="t"/>
          </v:shape>
        </w:pict>
      </w:r>
      <w:r>
        <w:rPr>
          <w:rFonts w:ascii="楷体" w:hAnsi="楷体" w:cs="楷体"/>
          <w:color w:val="000000"/>
          <w:spacing w:val="0"/>
          <w:sz w:val="21"/>
        </w:rPr>
        <w:t>采取措施：一方面，多次联系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/>
          <w:color w:val="000000"/>
          <w:spacing w:val="0"/>
          <w:sz w:val="21"/>
        </w:rPr>
        <w:t>B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公司接货；另一方面，为保障货物安全，租用港口场地存储货物并垫付费</w:t>
      </w:r>
    </w:p>
    <w:p w14:paraId="776389B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用。B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公司接货后，将货物运到目的地时逾期，造成损失。</w:t>
      </w:r>
    </w:p>
    <w:p w14:paraId="484ABBF1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（</w:t>
      </w:r>
      <w:r>
        <w:rPr>
          <w:rFonts w:ascii="Times New Roman"/>
          <w:color w:val="000000"/>
          <w:spacing w:val="0"/>
          <w:sz w:val="21"/>
        </w:rPr>
        <w:t>1</w:t>
      </w:r>
      <w:r>
        <w:rPr>
          <w:rFonts w:ascii="宋体" w:hAnsi="宋体" w:cs="宋体"/>
          <w:color w:val="000000"/>
          <w:spacing w:val="0"/>
          <w:sz w:val="21"/>
        </w:rPr>
        <w:t>）结合材料一，运用《经济与社会》相关知识，分析发展多式联运是如何助力统一开放的交通运输市场</w:t>
      </w:r>
    </w:p>
    <w:p w14:paraId="0979AD06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建设的。</w:t>
      </w:r>
    </w:p>
    <w:p w14:paraId="199344FE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（</w:t>
      </w:r>
      <w:r>
        <w:rPr>
          <w:rFonts w:ascii="Times New Roman"/>
          <w:color w:val="000000"/>
          <w:spacing w:val="0"/>
          <w:sz w:val="21"/>
        </w:rPr>
        <w:t>2</w:t>
      </w:r>
      <w:r>
        <w:rPr>
          <w:rFonts w:ascii="宋体" w:hAnsi="宋体" w:cs="宋体"/>
          <w:color w:val="000000"/>
          <w:spacing w:val="0"/>
          <w:sz w:val="21"/>
        </w:rPr>
        <w:t>）结合材料二，运用《法律与生活》中合同的相关知识，指出其中的违约方和守约方，并评析他们的行</w:t>
      </w:r>
    </w:p>
    <w:p w14:paraId="164E5FF8">
      <w:pPr>
        <w:spacing w:before="237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为。</w:t>
      </w:r>
    </w:p>
    <w:p w14:paraId="5BB23C18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18.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阅读材料，完成下列要求。</w:t>
      </w:r>
    </w:p>
    <w:p w14:paraId="146AAE86">
      <w:pPr>
        <w:spacing w:before="237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习近平指出：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创新是引领发展的第一动力。抓创新就是抓发展，谋创新就是谋未来。</w:t>
      </w:r>
      <w:r>
        <w:rPr>
          <w:rFonts w:ascii="宋体" w:hAnsi="宋体" w:cs="宋体"/>
          <w:color w:val="000000"/>
          <w:spacing w:val="0"/>
          <w:sz w:val="21"/>
        </w:rPr>
        <w:t>”</w:t>
      </w:r>
    </w:p>
    <w:p w14:paraId="65214E6D">
      <w:pPr>
        <w:spacing w:before="248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从跟跑到领跑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需要一代代人的接力，接力棒已经传给新一代。新一代有着不甘心的韧劲、不停步</w:t>
      </w:r>
    </w:p>
    <w:p w14:paraId="31AE808B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的闯劲。经过无数次失败，他们研制的机器人如今已能灵巧地转动手绢、在梅花桩上如履平地。具身智能、</w:t>
      </w:r>
    </w:p>
    <w:p w14:paraId="51BDEFD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-4"/>
          <w:sz w:val="21"/>
        </w:rPr>
        <w:t>量子技术、航空航天</w:t>
      </w:r>
      <w:r>
        <w:rPr>
          <w:rFonts w:ascii="宋体" w:hAnsi="宋体" w:cs="宋体"/>
          <w:color w:val="000000"/>
          <w:spacing w:val="-10"/>
          <w:sz w:val="21"/>
        </w:rPr>
        <w:t>……</w:t>
      </w:r>
      <w:r>
        <w:rPr>
          <w:rFonts w:ascii="楷体" w:hAnsi="楷体" w:cs="楷体"/>
          <w:color w:val="000000"/>
          <w:spacing w:val="-2"/>
          <w:sz w:val="21"/>
        </w:rPr>
        <w:t>新一代在关键技术领域中坚持再坚持，实现一个又一个新突破。曾经在创新路上屡</w:t>
      </w:r>
    </w:p>
    <w:p w14:paraId="438473C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遭挫折又不断求索的新一代，正推动创新中的中国行稳致远。</w:t>
      </w:r>
    </w:p>
    <w:p w14:paraId="799262A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结合材料，运用“追求真理是一个过程”相关知识，说明新一代为何能够推动创新中的中国行稳致远。</w:t>
      </w:r>
    </w:p>
    <w:p w14:paraId="767DC1E0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19.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阅读材料，完成下列要求。</w:t>
      </w:r>
    </w:p>
    <w:p w14:paraId="5F1127CB">
      <w:pPr>
        <w:spacing w:before="237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推动能源转型是全人类的共同责任，但保护主义和双重标准却阻碍了全球能源转型进程。一些国家对</w:t>
      </w:r>
    </w:p>
    <w:p w14:paraId="43FA09B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进口新能源产品征收高关税并采取大规模的歧视性产业补贴，既破坏全球新能源产业链，又导致本国转型</w:t>
      </w:r>
    </w:p>
    <w:p w14:paraId="01BE1DC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成本上升、消费者权益受损，造成了损人不利己的局面；限制与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全球南方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合作，防止绿色技术向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全</w:t>
      </w:r>
    </w:p>
    <w:p w14:paraId="32070824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球南方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转移，迟滞了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全球南方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能源转型。</w:t>
      </w:r>
    </w:p>
    <w:p w14:paraId="1ECF0B34">
      <w:pPr>
        <w:spacing w:before="248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中国秉持真正的多边主义，为全球能源转型难题提供解决方案。真正的多边主义倡导各国共同参与治</w:t>
      </w:r>
    </w:p>
    <w:p w14:paraId="093BE07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理、相互协调与合作，与单边主义、保护主义和排他性治理规则形成鲜明对比。</w:t>
      </w:r>
    </w:p>
    <w:p w14:paraId="32FCF564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结合材料，运用《当代国际政治与经济》相关知识，阐述国际社会在全球能源转型中应如何实现真正的多</w:t>
      </w:r>
    </w:p>
    <w:p w14:paraId="65FDF3EE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边主义。</w:t>
      </w:r>
    </w:p>
    <w:p w14:paraId="24D5B178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20.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阅读材料，完成下列要求。</w:t>
      </w:r>
    </w:p>
    <w:p w14:paraId="6B732584">
      <w:pPr>
        <w:spacing w:before="237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乡村工匠是扎根乡村的传统手工艺人，也是带动村民增收致富、推动乡村发展建设的重要技能人才。</w:t>
      </w:r>
    </w:p>
    <w:p w14:paraId="05D0F596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为培养乡村工匠，某地广泛调研、拓展思路，在此基础上，构建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多方主体、需求导向、形式多样、技能</w:t>
      </w:r>
    </w:p>
    <w:p w14:paraId="3289C86A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本位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的</w:t>
      </w:r>
      <w:r>
        <w:rPr>
          <w:rFonts w:ascii="宋体" w:hAnsi="宋体" w:cs="宋体"/>
          <w:color w:val="000000"/>
          <w:spacing w:val="0"/>
          <w:sz w:val="21"/>
        </w:rPr>
        <w:t>“</w:t>
      </w:r>
      <w:r>
        <w:rPr>
          <w:rFonts w:ascii="楷体" w:hAnsi="楷体" w:cs="楷体"/>
          <w:color w:val="000000"/>
          <w:spacing w:val="0"/>
          <w:sz w:val="21"/>
        </w:rPr>
        <w:t>四位一体</w:t>
      </w:r>
      <w:r>
        <w:rPr>
          <w:rFonts w:ascii="宋体" w:hAnsi="宋体" w:cs="宋体"/>
          <w:color w:val="000000"/>
          <w:spacing w:val="0"/>
          <w:sz w:val="21"/>
        </w:rPr>
        <w:t>”</w:t>
      </w:r>
      <w:r>
        <w:rPr>
          <w:rFonts w:ascii="楷体" w:hAnsi="楷体" w:cs="楷体"/>
          <w:color w:val="000000"/>
          <w:spacing w:val="0"/>
          <w:sz w:val="21"/>
        </w:rPr>
        <w:t>培养模式，提高了乡村工匠的综合素质与能力。但问题至此还没有解决，打造乡村</w:t>
      </w:r>
    </w:p>
    <w:p w14:paraId="1FCBEC8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工匠队伍，是一项长期的系统性工程，培养好还得留得住。为留住乡村工匠，该地在充分了解乡村工匠安</w:t>
      </w:r>
    </w:p>
    <w:p w14:paraId="52447242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居、医疗、子女教育等方面的需求后，建立乡村工匠激励保障机制，解决了他们的后顾之忧。</w:t>
      </w:r>
    </w:p>
    <w:p w14:paraId="4F484FB8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结合材料，运用“发散思维与聚合思维的关系”相关知识，说明该地打造乡村工匠队伍的思路。</w:t>
      </w:r>
    </w:p>
    <w:p w14:paraId="7BF0EDD3">
      <w:pPr>
        <w:spacing w:before="237" w:after="0" w:line="243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Times New Roman"/>
          <w:color w:val="000000"/>
          <w:spacing w:val="0"/>
          <w:sz w:val="21"/>
        </w:rPr>
        <w:t>21.</w:t>
      </w:r>
      <w:r>
        <w:rPr>
          <w:rFonts w:ascii="Times New Roman"/>
          <w:color w:val="000000"/>
          <w:spacing w:val="53"/>
          <w:sz w:val="21"/>
        </w:rPr>
        <w:t xml:space="preserve"> </w:t>
      </w:r>
      <w:r>
        <w:rPr>
          <w:rFonts w:ascii="宋体" w:hAnsi="宋体" w:cs="宋体"/>
          <w:color w:val="000000"/>
          <w:spacing w:val="0"/>
          <w:sz w:val="21"/>
        </w:rPr>
        <w:t>阅读材料，完成下列要求。</w:t>
      </w:r>
    </w:p>
    <w:p w14:paraId="0BD6147F">
      <w:pPr>
        <w:spacing w:before="108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6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p w14:paraId="5ED2A7FB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p w14:paraId="250103B2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  <w:cr/>
      </w:r>
      <w:r>
        <w:rPr>
          <w:rFonts w:ascii="Arial"/>
          <w:color w:val="FF0000"/>
          <w:spacing w:val="0"/>
          <w:sz w:val="2"/>
        </w:rPr>
        <w:br w:type="page"/>
      </w:r>
    </w:p>
    <w:p w14:paraId="6570B69B">
      <w:pPr>
        <w:spacing w:before="0" w:after="0" w:line="220" w:lineRule="exact"/>
        <w:ind w:left="420" w:right="0" w:firstLine="0"/>
        <w:jc w:val="left"/>
        <w:rPr>
          <w:rFonts w:ascii="Times New Roman"/>
          <w:color w:val="000000"/>
          <w:spacing w:val="0"/>
          <w:sz w:val="21"/>
        </w:rPr>
      </w:pPr>
      <w:bookmarkStart w:id="6" w:name="br7"/>
      <w:bookmarkEnd w:id="6"/>
      <w:r>
        <w:pict>
          <v:shape id="_x0000_s1049" o:spid="_x0000_s1049" o:spt="75" type="#_x0000_t75" style="position:absolute;left:0pt;margin-left:404.15pt;margin-top:72.55pt;height:2.75pt;width:2.75pt;mso-position-horizontal-relative:page;mso-position-vertical-relative:page;z-index:-251654144;mso-width-relative:page;mso-height-relative:page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</v:shape>
        </w:pict>
      </w:r>
      <w:r>
        <w:pict>
          <v:shape id="_x0000_s1050" o:spid="_x0000_s1050" o:spt="75" type="#_x0000_t75" style="position:absolute;left:0pt;margin-left:212.1pt;margin-top:473.3pt;height:5.75pt;width:5pt;mso-position-horizontal-relative:page;mso-position-vertical-relative:page;z-index:-251655168;mso-width-relative:page;mso-height-relative:page;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</v:shape>
        </w:pict>
      </w:r>
      <w:r>
        <w:pict>
          <v:shape id="_x0000_s1051" o:spid="_x0000_s1051" o:spt="75" type="#_x0000_t75" style="position:absolute;left:0pt;margin-left:116.8pt;margin-top:769.7pt;height:2.75pt;width:2.75pt;mso-position-horizontal-relative:page;mso-position-vertical-relative:page;z-index:-251656192;mso-width-relative:page;mso-height-relative:page;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</v:shape>
        </w:pict>
      </w:r>
      <w:r>
        <w:pict>
          <v:shape id="_x0000_s1052" o:spid="_x0000_s1052" o:spt="75" type="#_x0000_t75" style="position:absolute;left:0pt;margin-left:47pt;margin-top:111.55pt;height:206.85pt;width:465.7pt;mso-position-horizontal-relative:page;mso-position-vertical-relative:page;z-index:-251657216;mso-width-relative:page;mso-height-relative:page;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</v:shape>
        </w:pict>
      </w:r>
      <w:r>
        <w:rPr>
          <w:rFonts w:ascii="楷体" w:hAnsi="楷体" w:cs="楷体"/>
          <w:color w:val="000000"/>
          <w:spacing w:val="0"/>
          <w:sz w:val="21"/>
        </w:rPr>
        <w:t>红嘴鸥每年冬天飞到我国的一些湖泊、湿地过冬。有媒体聚焦生态文明建设，对红嘴鸥迁徙路线中一</w:t>
      </w:r>
    </w:p>
    <w:p w14:paraId="7940A763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些地方政府采取的积极举措进行了报道。以下择取的是四地政府的部分举措：</w:t>
      </w:r>
    </w:p>
    <w:p w14:paraId="05637A0A">
      <w:pPr>
        <w:spacing w:before="33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宁夏：利用卫星跟踪、遥感监测等技术</w:t>
      </w:r>
    </w:p>
    <w:p w14:paraId="4566E58F">
      <w:pPr>
        <w:spacing w:before="0" w:after="0" w:line="234" w:lineRule="exact"/>
        <w:ind w:left="0" w:right="1659" w:firstLine="4817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内蒙古：发挥护林员、草管员作用加强红嘴鸥 开展湿地生态监测，实时掌握红嘴鸥迁</w:t>
      </w:r>
    </w:p>
    <w:p w14:paraId="5ED6B0CB">
      <w:pPr>
        <w:spacing w:before="0" w:after="0" w:line="234" w:lineRule="exact"/>
        <w:ind w:left="0" w:right="1659" w:firstLine="4817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等候鸟栖息地保护；开展打击乱捕滥猎等违法 徙轨迹和栖息状况；2024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年争取上亿元</w:t>
      </w:r>
    </w:p>
    <w:p w14:paraId="70E6470F">
      <w:pPr>
        <w:spacing w:before="0" w:after="0" w:line="234" w:lineRule="exact"/>
        <w:ind w:left="0" w:right="2079" w:firstLine="4817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犯罪专项行动推进防沙治沙和国土绿化。 湿地保护修复资金，修复湿地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/>
          <w:color w:val="000000"/>
          <w:spacing w:val="0"/>
          <w:sz w:val="21"/>
        </w:rPr>
        <w:t>5.5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万亩。</w:t>
      </w:r>
    </w:p>
    <w:p w14:paraId="3BC98BAE">
      <w:pPr>
        <w:spacing w:before="413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-7"/>
          <w:sz w:val="21"/>
        </w:rPr>
        <w:t>云南：着力实施《云南省滇池保护条例》；</w:t>
      </w:r>
      <w:r>
        <w:rPr>
          <w:rFonts w:ascii="Times New Roman"/>
          <w:color w:val="000000"/>
          <w:spacing w:val="918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陕西：2024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年划拨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/>
          <w:color w:val="000000"/>
          <w:spacing w:val="0"/>
          <w:sz w:val="21"/>
        </w:rPr>
        <w:t>1.15</w:t>
      </w:r>
      <w:r>
        <w:rPr>
          <w:rFonts w:ascii="Times New Roman"/>
          <w:color w:val="000000"/>
          <w:spacing w:val="0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亿元资金用于黄河湿</w:t>
      </w:r>
    </w:p>
    <w:p w14:paraId="122CE025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实施滇池湖滨生态建设工程建成宽度约</w:t>
      </w:r>
      <w:r>
        <w:rPr>
          <w:rFonts w:ascii="Times New Roman"/>
          <w:color w:val="000000"/>
          <w:spacing w:val="1193"/>
          <w:sz w:val="21"/>
        </w:rPr>
        <w:t xml:space="preserve"> </w:t>
      </w:r>
      <w:r>
        <w:rPr>
          <w:rFonts w:ascii="楷体" w:hAnsi="楷体" w:cs="楷体"/>
          <w:color w:val="000000"/>
          <w:spacing w:val="-9"/>
          <w:sz w:val="21"/>
        </w:rPr>
        <w:t>地保护修复；出台《陕西省湿地保护条例》；联</w:t>
      </w:r>
    </w:p>
    <w:p w14:paraId="6B3BEC07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/>
          <w:color w:val="000000"/>
          <w:spacing w:val="0"/>
          <w:sz w:val="21"/>
        </w:rPr>
        <w:t>200</w:t>
      </w:r>
      <w:r>
        <w:rPr>
          <w:rFonts w:ascii="Times New Roman"/>
          <w:color w:val="000000"/>
          <w:spacing w:val="-17"/>
          <w:sz w:val="21"/>
        </w:rPr>
        <w:t xml:space="preserve"> </w:t>
      </w:r>
      <w:r>
        <w:rPr>
          <w:rFonts w:ascii="楷体" w:hAnsi="楷体" w:cs="楷体"/>
          <w:color w:val="000000"/>
          <w:spacing w:val="-4"/>
          <w:sz w:val="21"/>
        </w:rPr>
        <w:t>米的环湖闭合生态带，倡导公民爱鸥</w:t>
      </w:r>
      <w:r>
        <w:rPr>
          <w:rFonts w:ascii="Times New Roman"/>
          <w:color w:val="000000"/>
          <w:spacing w:val="1125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动开展打击破坏红嘴鸥等野生动物资源违法犯</w:t>
      </w:r>
    </w:p>
    <w:p w14:paraId="23FF438C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楷体" w:hAnsi="楷体" w:cs="楷体"/>
          <w:color w:val="000000"/>
          <w:spacing w:val="0"/>
          <w:sz w:val="21"/>
        </w:rPr>
        <w:t>护鸥、文明观赏红嘴鸥。</w:t>
      </w:r>
      <w:r>
        <w:rPr>
          <w:rFonts w:ascii="Times New Roman"/>
          <w:color w:val="000000"/>
          <w:spacing w:val="2454"/>
          <w:sz w:val="21"/>
        </w:rPr>
        <w:t xml:space="preserve"> </w:t>
      </w:r>
      <w:r>
        <w:rPr>
          <w:rFonts w:ascii="楷体" w:hAnsi="楷体" w:cs="楷体"/>
          <w:color w:val="000000"/>
          <w:spacing w:val="0"/>
          <w:sz w:val="21"/>
        </w:rPr>
        <w:t>罪专项行动。</w:t>
      </w:r>
    </w:p>
    <w:p w14:paraId="7759BAA7">
      <w:pPr>
        <w:spacing w:before="33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结合材料，运用《政治与法治》相关知识，以“政府有为、公民参与，更好为红嘴鸥保驾护航”为主题写</w:t>
      </w:r>
    </w:p>
    <w:p w14:paraId="157B2F7F">
      <w:pPr>
        <w:spacing w:before="248" w:after="0" w:line="220" w:lineRule="exact"/>
        <w:ind w:left="0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-3"/>
          <w:sz w:val="21"/>
        </w:rPr>
        <w:t>一篇短文。（要求：围绕主题，观点明确，表述清楚，条理清晰，200</w:t>
      </w:r>
      <w:r>
        <w:rPr>
          <w:rFonts w:ascii="Times New Roman"/>
          <w:color w:val="000000"/>
          <w:spacing w:val="3"/>
          <w:sz w:val="21"/>
        </w:rPr>
        <w:t xml:space="preserve"> </w:t>
      </w:r>
      <w:r>
        <w:rPr>
          <w:rFonts w:ascii="宋体" w:hAnsi="宋体" w:cs="宋体"/>
          <w:color w:val="000000"/>
          <w:spacing w:val="-21"/>
          <w:sz w:val="21"/>
        </w:rPr>
        <w:t>字左右。）</w:t>
      </w:r>
    </w:p>
    <w:p w14:paraId="2560B65D">
      <w:pPr>
        <w:spacing w:before="8203" w:after="0" w:line="243" w:lineRule="exact"/>
        <w:ind w:left="4163" w:right="0" w:firstLine="0"/>
        <w:jc w:val="left"/>
        <w:rPr>
          <w:rFonts w:ascii="Times New Roman"/>
          <w:color w:val="000000"/>
          <w:spacing w:val="0"/>
          <w:sz w:val="21"/>
        </w:rPr>
      </w:pPr>
      <w:r>
        <w:rPr>
          <w:rFonts w:ascii="宋体" w:hAnsi="宋体" w:cs="宋体"/>
          <w:color w:val="000000"/>
          <w:spacing w:val="0"/>
          <w:sz w:val="21"/>
        </w:rPr>
        <w:t>第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  <w:r>
        <w:rPr>
          <w:rFonts w:ascii="Times New Roman"/>
          <w:color w:val="000000"/>
          <w:spacing w:val="0"/>
          <w:sz w:val="21"/>
        </w:rPr>
        <w:t>/</w:t>
      </w:r>
      <w:r>
        <w:rPr>
          <w:rFonts w:ascii="宋体" w:hAnsi="宋体" w:cs="宋体"/>
          <w:color w:val="000000"/>
          <w:spacing w:val="0"/>
          <w:sz w:val="21"/>
        </w:rPr>
        <w:t>共</w:t>
      </w:r>
      <w:r>
        <w:rPr>
          <w:rFonts w:ascii="Times New Roman"/>
          <w:color w:val="000000"/>
          <w:spacing w:val="0"/>
          <w:sz w:val="21"/>
        </w:rPr>
        <w:t xml:space="preserve"> 7</w:t>
      </w:r>
      <w:r>
        <w:rPr>
          <w:rFonts w:ascii="宋体" w:hAnsi="宋体" w:cs="宋体"/>
          <w:color w:val="000000"/>
          <w:spacing w:val="0"/>
          <w:sz w:val="21"/>
        </w:rPr>
        <w:t>页</w:t>
      </w:r>
    </w:p>
    <w:sectPr>
      <w:pgSz w:w="11900" w:h="16840"/>
      <w:pgMar w:top="1452" w:right="100" w:bottom="0" w:left="1080" w:header="720" w:footer="720" w:gutter="0"/>
      <w:pgNumType w:start="1"/>
      <w:cols w:space="720" w:num="1"/>
      <w:docGrid w:linePitch="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  <w:embedRegular r:id="rId1" w:fontKey="{7A093B63-79D6-47F1-BE7D-893AD7D385B2}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2" w:fontKey="{B815278A-B853-4E50-99E0-DFD21647B757}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3" w:fontKey="{75A32026-A5D2-4904-ADC9-3149937271E0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4" w:fontKey="{703420C0-F88E-4B34-BA50-5B8BDAB5276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5" w:fontKey="{07AA1805-ECD7-40F9-81FB-436B2D1AE4D8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6" w:fontKey="{1A254A30-F222-41C8-8473-8B089506C42C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7" w:fontKey="{04C476DE-C5C4-45E4-A2F8-AF522652B10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3BC1CDE3-7B4C-4454-8D74-34270B8D3B8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67078">
    <w:pPr>
      <w:pStyle w:val="2"/>
      <w:pBdr>
        <w:bottom w:val="none" w:color="auto" w:sz="0" w:space="0"/>
      </w:pBdr>
      <w:jc w:val="center"/>
      <w:rPr>
        <w:rFonts w:hint="eastAsia" w:eastAsiaTheme="minorEastAsia"/>
        <w:lang w:eastAsia="zh-CN"/>
      </w:rPr>
    </w:pPr>
    <w:r>
      <w:rPr>
        <w:sz w:val="16"/>
        <w:szCs w:val="16"/>
        <w:color w:val="888888"/>
      </w:rPr>
      <w:t xml:space="preserve">试卷大全 www.sjdaquan.com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E98DF8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D098DA">
    <w:pPr>
      <w:pStyle w:val="2"/>
      <w:pBdr>
        <w:bottom w:val="none" w:color="auto" w:sz="0" w:space="0"/>
      </w:pBdr>
    </w:pPr>
  </w:p>
  <w:p>
    <w:pPr>
      <w:jc w:val="center"/>
      <w:spacing w:before="240" w:after="240"/>
    </w:pPr>
    <w:r>
      <w:rPr>
        <w:sz w:val="16"/>
        <w:szCs w:val="16"/>
        <w:color w:val="888888"/>
      </w:rPr>
      <w:t xml:space="preserve">试卷大全 www.sjdaquan.com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2E6F8">
    <w:pPr>
      <w:pStyle w:val="3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1AB128">
    <w:pPr>
      <w:pStyle w:val="3"/>
      <w:pBdr>
        <w:bottom w:val="none" w:color="auto" w:sz="0" w:space="1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403D8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embedSystemFonts/>
  <w:documentProtection w:enforcement="0"/>
  <w:defaultTabStop w:val="708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B2D"/>
    <w:rsid w:val="00B06B85"/>
    <w:rsid w:val="00BA5B2D"/>
    <w:rsid w:val="0CD533EF"/>
    <w:rsid w:val="47C63C4F"/>
    <w:rsid w:val="61E63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iPriority="99" w:name="heading 1"/>
    <w:lsdException w:uiPriority="99" w:name="heading 2"/>
    <w:lsdException w:uiPriority="99" w:name="heading 3"/>
    <w:lsdException w:uiPriority="99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iPriority="99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qFormat="1" w:unhideWhenUsed="0" w:uiPriority="0" w:name="No Lis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5"/>
    <w:uiPriority w:val="0"/>
    <w:pPr>
      <w:spacing w:before="120" w:after="240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5">
    <w:name w:val="Default Paragraph Font"/>
    <w:link w:val="1"/>
    <w:semiHidden/>
    <w:qFormat/>
    <w:uiPriority w:val="0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default="1" w:styleId="6">
    <w:name w:val="No List"/>
    <w:semiHidden/>
    <w:qFormat/>
    <w:uiPriority w:val="0"/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qFormat/>
    <w:uiPriority w:val="0"/>
    <w:tblPr>
      <w:tblCellMar>
        <w:top w:w="0" w:type="dxa"/>
        <w:left w:w="108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jpeg"/><Relationship Id="rId17" Type="http://schemas.openxmlformats.org/officeDocument/2006/relationships/image" Target="media/image7.jpeg"/><Relationship Id="rId16" Type="http://schemas.openxmlformats.org/officeDocument/2006/relationships/image" Target="media/image6.jpeg"/><Relationship Id="rId15" Type="http://schemas.openxmlformats.org/officeDocument/2006/relationships/image" Target="media/image5.jpeg"/><Relationship Id="rId14" Type="http://schemas.openxmlformats.org/officeDocument/2006/relationships/image" Target="media/image4.jpeg"/><Relationship Id="rId13" Type="http://schemas.openxmlformats.org/officeDocument/2006/relationships/image" Target="media/image3.jpeg"/><Relationship Id="rId12" Type="http://schemas.openxmlformats.org/officeDocument/2006/relationships/image" Target="media/image2.jpeg"/><Relationship Id="rId11" Type="http://schemas.openxmlformats.org/officeDocument/2006/relationships/image" Target="media/image1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5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4"/>
    <customShpInfo spid="_x0000_s1035"/>
    <customShpInfo spid="_x0000_s1036"/>
    <customShpInfo spid="_x0000_s1037"/>
    <customShpInfo spid="_x0000_s1038"/>
    <customShpInfo spid="_x0000_s1039"/>
    <customShpInfo spid="_x0000_s1040"/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47"/>
    <customShpInfo spid="_x0000_s1048"/>
    <customShpInfo spid="_x0000_s1049"/>
    <customShpInfo spid="_x0000_s1050"/>
    <customShpInfo spid="_x0000_s1051"/>
    <customShpInfo spid="_x0000_s1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Aspose</Company>
  <Pages>14</Pages>
  <Words>5011</Words>
  <Characters>5195</Characters>
  <Lines>0</Lines>
  <Paragraphs>195</Paragraphs>
  <TotalTime>3</TotalTime>
  <ScaleCrop>false</ScaleCrop>
  <LinksUpToDate>false</LinksUpToDate>
  <CharactersWithSpaces>5486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2025-07-07T01:13:00Z</dcterms:created>
  <dc:creator>Administrator</dc:creator>
  <cp:lastModifiedBy>上帝掷骰子吗</cp:lastModifiedBy>
  <dcterms:modified xsi:type="dcterms:W3CDTF">2026-02-10T06:56:21Z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eyJoZGlkIjoiMjljNjk0N2RhMTc0NzI3ZTQwZWEyZWMyMzA2NzliMDQiLCJ1c2VySWQiOiI3ODUwOTA2ODcifQ==</vt:lpwstr>
  </property>
  <property fmtid="{D5CDD505-2E9C-101B-9397-08002B2CF9AE}" pid="3" name="KSOProductBuildVer">
    <vt:lpwstr>2052-12.1.0.24657</vt:lpwstr>
  </property>
  <property fmtid="{D5CDD505-2E9C-101B-9397-08002B2CF9AE}" pid="4" name="ICV">
    <vt:lpwstr>C246B253D55843CCBDED79ECF3F7FE16_12</vt:lpwstr>
  </property>
</Properties>
</file>